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839"/>
        <w:gridCol w:w="4840"/>
      </w:tblGrid>
      <w:tr w:rsidR="00CA6269" w14:paraId="756BC4C7" w14:textId="77777777" w:rsidTr="00D278CF">
        <w:tc>
          <w:tcPr>
            <w:tcW w:w="5755" w:type="dxa"/>
          </w:tcPr>
          <w:p w14:paraId="6E147871" w14:textId="77777777" w:rsidR="00CA6269" w:rsidRDefault="00CA6269" w:rsidP="00D278CF">
            <w:pPr>
              <w:rPr>
                <w:lang w:val="ru-RU"/>
              </w:rPr>
            </w:pPr>
            <w:r>
              <w:rPr>
                <w:noProof/>
                <w:lang w:val="ru-RU"/>
              </w:rPr>
              <w:drawing>
                <wp:inline distT="0" distB="0" distL="0" distR="0" wp14:anchorId="4EBE4F67" wp14:editId="75F900AD">
                  <wp:extent cx="3465762" cy="4619708"/>
                  <wp:effectExtent l="0" t="0" r="1905" b="0"/>
                  <wp:docPr id="153381945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3236" cy="46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55" w:type="dxa"/>
          </w:tcPr>
          <w:p w14:paraId="225D6EAE" w14:textId="77777777" w:rsidR="00CA6269" w:rsidRDefault="00CA6269" w:rsidP="00D278CF">
            <w:pPr>
              <w:rPr>
                <w:lang w:val="ru-RU"/>
              </w:rPr>
            </w:pPr>
            <w:r>
              <w:rPr>
                <w:noProof/>
                <w:lang w:val="ru-RU"/>
              </w:rPr>
              <w:drawing>
                <wp:inline distT="0" distB="0" distL="0" distR="0" wp14:anchorId="6C9BDA04" wp14:editId="3207BE52">
                  <wp:extent cx="3465701" cy="4619625"/>
                  <wp:effectExtent l="0" t="0" r="1905" b="0"/>
                  <wp:docPr id="110041100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964" cy="4634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8EFA4" w14:textId="77777777" w:rsidR="00CA6269" w:rsidRPr="00CA6269" w:rsidRDefault="00CA6269" w:rsidP="00CA6269">
      <w:r w:rsidRPr="00CA6269">
        <w:t xml:space="preserve"> </w:t>
      </w:r>
    </w:p>
    <w:p w14:paraId="77381C68" w14:textId="77777777" w:rsidR="00CA6269" w:rsidRPr="00CA6269" w:rsidRDefault="00CA6269" w:rsidP="00CA6269">
      <w:r w:rsidRPr="00CA6269">
        <w:t xml:space="preserve">This stock item 45.02.905 (which is a flux) is used to improve slag separation during melting and is added directly inside the crucible. This item is classified as a chemical reagent rather than a construction material. It has a very fine particle size, </w:t>
      </w:r>
      <w:proofErr w:type="gramStart"/>
      <w:r w:rsidRPr="00CA6269">
        <w:t>similar to</w:t>
      </w:r>
      <w:proofErr w:type="gramEnd"/>
      <w:r w:rsidRPr="00CA6269">
        <w:t xml:space="preserve"> powder or flour.</w:t>
      </w:r>
    </w:p>
    <w:p w14:paraId="43600CD6" w14:textId="77777777" w:rsidR="00CA6269" w:rsidRDefault="00CA6269"/>
    <w:sectPr w:rsidR="00CA6269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6269"/>
    <w:rsid w:val="001C7C71"/>
    <w:rsid w:val="00CA62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E02C5D"/>
  <w15:chartTrackingRefBased/>
  <w15:docId w15:val="{B0396FB4-E700-42C0-969B-6A398C6BDD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A6269"/>
  </w:style>
  <w:style w:type="paragraph" w:styleId="1">
    <w:name w:val="heading 1"/>
    <w:basedOn w:val="a"/>
    <w:next w:val="a"/>
    <w:link w:val="10"/>
    <w:uiPriority w:val="9"/>
    <w:qFormat/>
    <w:rsid w:val="00CA626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A626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A626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A626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A626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A626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A626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A626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A626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A626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A626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A626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A6269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A6269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A626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A6269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A626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A626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A626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CA62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A626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CA626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CA626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CA6269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CA626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CA6269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CA626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CA6269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CA6269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CA62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</Words>
  <Characters>247</Characters>
  <Application>Microsoft Office Word</Application>
  <DocSecurity>0</DocSecurity>
  <Lines>2</Lines>
  <Paragraphs>1</Paragraphs>
  <ScaleCrop>false</ScaleCrop>
  <Company/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Alina Zhumakadyrova</dc:creator>
  <cp:keywords/>
  <dc:description/>
  <cp:lastModifiedBy>Alina Zhumakadyrova</cp:lastModifiedBy>
  <cp:revision>1</cp:revision>
  <dcterms:created xsi:type="dcterms:W3CDTF">2026-03-19T09:42:00Z</dcterms:created>
  <dcterms:modified xsi:type="dcterms:W3CDTF">2026-03-19T09:44:00Z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2026-03-19T09:44:11Z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b9e3e360-eb5f-4e2a-80a7-5bc06ed12488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